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I truly believe that acceptance is the key to all of my serenity. I never practiced acceptance until I attempted to get sober in 1988. Today I practice acceptance on a daily basis.</w:t>
        <w:br w:type="textWrapping"/>
        <w:br w:type="textWrapping"/>
        <w:t xml:space="preserve">It was July 4th, 2009. I was doing my usual thing. Partying and drinking as accustomed to. I was in an auto accident and woke up in Hurley Hospital the next morning.</w:t>
        <w:br w:type="textWrapping"/>
        <w:br w:type="textWrapping"/>
        <w:t xml:space="preserve">Having had some severe injuries, I was forced to lose my job, and stay in bed healing for a month. The most severe was a cracked vertebra. The doctors said it would heal well the way it was.</w:t>
        <w:br w:type="textWrapping"/>
        <w:br w:type="textWrapping"/>
        <w:t xml:space="preserve">Throughout the summer I tried to regain my strength. I went hunting one early October evening, and while sitting still in my blind, an 8 point buck came softly by. I took the shot and stuck him right in the kill zone. As I was dragging him out of the woods, I felt a snap in my back and then instant pain. The next day I saw my family doctor, and they found that I had I had broken my T-11 vertebra, the one cracked before in my accident. This meant surgery, in which my insurance would not cover so I was forced to file for Medicaid.</w:t>
        <w:br w:type="textWrapping"/>
        <w:br w:type="textWrapping"/>
        <w:t xml:space="preserve">In early January I was accepted for Medicaid. In my surgery the surgeon, the well- known man he was, had to re-break my vertebra and cement it back together. My back has not been the same since.</w:t>
        <w:br w:type="textWrapping"/>
        <w:br w:type="textWrapping"/>
        <w:t xml:space="preserve">As the months progressed, I came to the conclusion, with my doctors’ opinion, that I could no longer do the work I was accustomed of doing. This was extremely hard for me to accept. As time went along my self-esteem got lower and lower, for I felt useless as a man. I started drinking more and more and abusing my pain medications. My life was going nowhere and I was out of control.</w:t>
        <w:br w:type="textWrapping"/>
        <w:br w:type="textWrapping"/>
        <w:t xml:space="preserve">In early January this year, 2013, I had a life changing experience once again. Instead of waking up in the hospital, I woke up in jail. I looked around as nothing looked familiar, and did not know where I was. I found myself in the Shiawassee County Jail. This dramatic trauma leads me back onto the right path to a better way of living. I stopped drinking, stopped abusing my medications, and in fact, stopped taking any narcotic medicine all together.</w:t>
        <w:br w:type="textWrapping"/>
        <w:br w:type="textWrapping"/>
        <w:t xml:space="preserve">I realize I cannot change people, places, and things. I have to accept the things the way they are today. So I decided to go to school so that I can get back to work and become a better member of society.</w:t>
        <w:br w:type="textWrapping"/>
        <w:br w:type="textWrapping"/>
        <w:t xml:space="preserve">Without acceptance in my life, this would be practically impossible for me. Today I know that I need to “accept then things I cannot change, to have the courage to change the things that I can, and the wisdom to know the difference” between the two. Acceptance is the key to my journey in life.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