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Fonts w:ascii="Arial" w:cs="Arial" w:eastAsia="Arial" w:hAnsi="Arial"/>
          <w:b w:val="1"/>
          <w:vertAlign w:val="baseline"/>
          <w:rtl w:val="0"/>
        </w:rPr>
        <w:t xml:space="preserv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pPr>
      <w:r w:rsidDel="00000000" w:rsidR="00000000" w:rsidRPr="00000000">
        <w:rPr>
          <w:rtl w:val="0"/>
        </w:rPr>
        <w:t xml:space="preserve">The time I completed reading and marking this assignment was: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At some point in life, everyone has an encounter with karma. Some people simply have a worse experience than others. When I encounter karma, it is usually a painful or an unforgettable event. I’m not talking about the kind of karma which one encounters and laughs about it two hours later. No. My kind of karma is one which someone shivers or gets a sudden chill when he or she recalls the event. It was a warm Saturday evening my friend had come to visit. It is a well known fact around the house that mama tends to do whatever is possible in order to make a guest feel special and welcome. This includes, going out and buying snacks that are normally considered a ‘cholesterol death sentence’ around the house; constantly asking whether the guest needs something; best of all, saying yes to almost everything. This particular night, the family was scheduled to eat food that my brother and I had tried our best to get mama not to cook it. Unfortunately our efforts proved fruitless when she replied, “you can cook whatever you want once you get your own house. As of right now, you’ll it what I cook and you’ll like it!”</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My mom’s attitude suddenly changed when my friend arrived. “I guess we can order Chinese food this one time.” Mom said, putting back all the vegetables in the freezer. I picked up the phone and called my favorite Chinese restaurant. In twenty minutes, each person was holding a plate of Chinese food, eating like there’d no tomorrow. Everyone was full before they even finished. My friend and I decided to head up to my room and let the food digest as we played video games. Before we knew it, it was two O’clock in the morning and his mom was waiting outside to take him home. We said our goodbyes and he left. Ten minutes later, I heard my phone ring it was my friend. “Yo D I left my food at your place, mind bring it with you to the basketball court tomorrow?” Without replying, I hang up the phone and ran to the kitchen. To my surprise, there it was, half a plate of Chinese food. Suddenly, I got hungry. By now I knew for sure that he wasn’t getting that food back. My mind had a bunch of reasons as to why I was justified to eat it on the spot. With out giving it a second thought, I put my friend’s Chinese food in the microwave, and warmed it for three minutes. Soon I was seated in the dinning room eating the food as fast as I could. A thought came to my mind. Maybe it would be funny if I took a picture of the Chinese food and sent it to my now hungry friend. Without hesitating, I reached my phone with my greasy hands and snapped a couple of shots, which I then sent to him. He replied a four word text that to this day still haunts me. “Karma will get you.” As soon as I finished licking my fingers, I brushed my teeth and went to sleep.</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220" w:before="220" w:lineRule="auto"/>
        <w:contextualSpacing w:val="0"/>
        <w:rPr>
          <w:rFonts w:ascii="Verdana" w:cs="Verdana" w:eastAsia="Verdana" w:hAnsi="Verdana"/>
          <w:color w:val="353535"/>
          <w:sz w:val="17"/>
          <w:szCs w:val="17"/>
          <w:highlight w:val="white"/>
        </w:rPr>
      </w:pPr>
      <w:r w:rsidDel="00000000" w:rsidR="00000000" w:rsidRPr="00000000">
        <w:rPr>
          <w:rFonts w:ascii="Verdana" w:cs="Verdana" w:eastAsia="Verdana" w:hAnsi="Verdana"/>
          <w:color w:val="353535"/>
          <w:sz w:val="17"/>
          <w:szCs w:val="17"/>
          <w:highlight w:val="white"/>
          <w:rtl w:val="0"/>
        </w:rPr>
        <w:t xml:space="preserve">I was woken up at four O’clock in the morning by stomach pains that I’d never experienced before. Tears came rolling down my cheeks as I rolled sided to side on my bed, holding my stomach. I couldn’t take it anymore, I woke up my mom who after seeing how much pain I was in, decided to take me to the emergency room. I sat through an hour of agonizing pain as I waited in the reception. To this day I never understood why the make you wait for an hour in the reception at four O’clock in the morning. The doctor finally saw me and gave me some medicine. He concluded be saying that I had had a severe food poisoning and had made it worse by over eating. I was ashamed to share this news with my friend. The worst part of that whole experience is that as I went through all that pain, a small voice in my head kept repeating the text, “Karma will get you. Karma will get you.”</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